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EC3ACE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330" w:afterAutospacing="0" w:line="450" w:lineRule="atLeast"/>
        <w:ind w:left="0" w:right="0" w:firstLine="0"/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</w:rPr>
      </w:pPr>
      <w:r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In cinematic art, there is infinite variety in everything - and the same goes for Variance. In this lesson, let’s take a look at a few less defined cases.</w:t>
      </w:r>
    </w:p>
    <w:p w14:paraId="4347119A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330" w:afterAutospacing="0" w:line="450" w:lineRule="atLeast"/>
        <w:ind w:left="0" w:right="0" w:firstLine="0"/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</w:rPr>
      </w:pPr>
      <w:r>
        <w:rPr>
          <w:rStyle w:val="5"/>
          <w:rFonts w:hint="default" w:ascii="Calibri" w:hAnsi="Calibri" w:eastAsia="OpenSans" w:cs="Calibri"/>
          <w:b/>
          <w:bCs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Timestamps:</w:t>
      </w:r>
    </w:p>
    <w:p w14:paraId="59F4390F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00:00 - Intro</w:t>
      </w:r>
    </w:p>
    <w:p w14:paraId="2BCE90F8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00:15 - Neutral vari</w:t>
      </w:r>
      <w:bookmarkStart w:id="0" w:name="_GoBack"/>
      <w:bookmarkEnd w:id="0"/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ance</w:t>
      </w:r>
    </w:p>
    <w:p w14:paraId="4E49DD10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01:58 - Extreme variance</w:t>
      </w:r>
    </w:p>
    <w:p w14:paraId="4CF23477">
      <w:pPr>
        <w:rPr>
          <w:rFonts w:hint="default" w:ascii="Calibri" w:hAnsi="Calibri" w:cs="Calibri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Open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BDF3A7"/>
    <w:multiLevelType w:val="multilevel"/>
    <w:tmpl w:val="14BDF3A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211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character" w:styleId="5">
    <w:name w:val="Strong"/>
    <w:basedOn w:val="2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2025-04-04T01:32:36Z</dcterms:created>
  <dc:creator>ldart</dc:creator>
  <cp:lastModifiedBy>WPS_1709975105</cp:lastModifiedBy>
  <dcterms:modified xsi:type="dcterms:W3CDTF">2025-04-04T01:32:40Z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1033-12.2.0.20782</vt:lpwstr>
  </property>
  <property fmtid="{D5CDD505-2E9C-101B-9397-08002B2CF9AE}" pid="3" name="ICV">
    <vt:lpwstr>80A4582D4B7245B88963FDE2FCAC5A5C_12</vt:lpwstr>
  </property>
</Properties>
</file>